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D9A75" w14:textId="52312FA6" w:rsidR="00544ECB" w:rsidRPr="003F553C" w:rsidRDefault="00544ECB" w:rsidP="00544ECB">
      <w:pPr>
        <w:spacing w:before="120" w:after="120" w:line="280" w:lineRule="exact"/>
        <w:jc w:val="right"/>
        <w:rPr>
          <w:rFonts w:ascii="Arial" w:hAnsi="Arial" w:cs="Arial"/>
          <w:b/>
          <w:sz w:val="28"/>
          <w:szCs w:val="28"/>
        </w:rPr>
      </w:pPr>
      <w:r w:rsidRPr="003F553C">
        <w:rPr>
          <w:rFonts w:ascii="Arial" w:hAnsi="Arial" w:cs="Arial"/>
          <w:b/>
          <w:szCs w:val="22"/>
        </w:rPr>
        <w:t xml:space="preserve">Appendix </w:t>
      </w:r>
      <w:r w:rsidR="004E6C70">
        <w:rPr>
          <w:rFonts w:ascii="Arial" w:hAnsi="Arial" w:cs="Arial"/>
          <w:b/>
          <w:szCs w:val="22"/>
        </w:rPr>
        <w:t>A</w:t>
      </w:r>
    </w:p>
    <w:p w14:paraId="6AFB957F" w14:textId="0735ADAA" w:rsidR="00544ECB" w:rsidRPr="003F553C" w:rsidRDefault="00823F25" w:rsidP="00544ECB">
      <w:pPr>
        <w:spacing w:before="120" w:after="120" w:line="280" w:lineRule="exac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t>Draft Work P</w:t>
      </w:r>
      <w:r w:rsidR="004E6C70" w:rsidRPr="004E6C70">
        <w:rPr>
          <w:rFonts w:ascii="Arial" w:hAnsi="Arial" w:cs="Arial"/>
          <w:b/>
          <w:noProof/>
          <w:sz w:val="28"/>
          <w:szCs w:val="28"/>
        </w:rPr>
        <w:t>rogramme</w:t>
      </w:r>
      <w:r w:rsidR="00544ECB" w:rsidRPr="003F553C">
        <w:rPr>
          <w:rFonts w:ascii="Arial" w:hAnsi="Arial" w:cs="Arial"/>
          <w:b/>
          <w:noProof/>
          <w:sz w:val="28"/>
          <w:szCs w:val="28"/>
        </w:rPr>
        <w:tab/>
      </w:r>
      <w:r w:rsidR="00544ECB" w:rsidRPr="003F553C">
        <w:rPr>
          <w:rFonts w:ascii="Arial" w:hAnsi="Arial" w:cs="Arial"/>
          <w:b/>
          <w:noProof/>
          <w:sz w:val="28"/>
          <w:szCs w:val="28"/>
        </w:rPr>
        <w:tab/>
      </w:r>
      <w:r w:rsidR="00544ECB" w:rsidRPr="003F553C">
        <w:rPr>
          <w:rFonts w:ascii="Arial" w:hAnsi="Arial" w:cs="Arial"/>
          <w:b/>
          <w:noProof/>
          <w:sz w:val="28"/>
          <w:szCs w:val="28"/>
        </w:rPr>
        <w:tab/>
      </w:r>
      <w:r w:rsidR="00544ECB" w:rsidRPr="003F553C">
        <w:rPr>
          <w:rFonts w:ascii="Arial" w:hAnsi="Arial" w:cs="Arial"/>
          <w:b/>
          <w:noProof/>
          <w:sz w:val="28"/>
          <w:szCs w:val="28"/>
        </w:rPr>
        <w:tab/>
      </w:r>
      <w:r w:rsidR="00544ECB" w:rsidRPr="003F553C">
        <w:rPr>
          <w:rFonts w:ascii="Arial" w:hAnsi="Arial" w:cs="Arial"/>
          <w:b/>
          <w:noProof/>
          <w:sz w:val="28"/>
          <w:szCs w:val="28"/>
        </w:rPr>
        <w:tab/>
      </w:r>
      <w:r w:rsidR="00544ECB" w:rsidRPr="003F553C">
        <w:rPr>
          <w:rFonts w:ascii="Arial" w:hAnsi="Arial" w:cs="Arial"/>
          <w:b/>
          <w:noProof/>
          <w:sz w:val="28"/>
          <w:szCs w:val="28"/>
        </w:rPr>
        <w:tab/>
      </w:r>
      <w:r w:rsidR="00544ECB" w:rsidRPr="003F553C">
        <w:rPr>
          <w:rFonts w:ascii="Arial" w:hAnsi="Arial" w:cs="Arial"/>
          <w:b/>
          <w:noProof/>
          <w:sz w:val="28"/>
          <w:szCs w:val="28"/>
        </w:rPr>
        <w:tab/>
      </w:r>
      <w:r w:rsidR="00544ECB" w:rsidRPr="003F553C">
        <w:rPr>
          <w:rFonts w:ascii="Arial" w:hAnsi="Arial" w:cs="Arial"/>
          <w:b/>
          <w:noProof/>
          <w:sz w:val="28"/>
          <w:szCs w:val="28"/>
        </w:rPr>
        <w:tab/>
      </w:r>
      <w:r w:rsidR="00544ECB" w:rsidRPr="003F553C">
        <w:rPr>
          <w:rFonts w:ascii="Arial" w:hAnsi="Arial" w:cs="Arial"/>
          <w:b/>
          <w:noProof/>
          <w:sz w:val="28"/>
          <w:szCs w:val="28"/>
        </w:rPr>
        <w:tab/>
      </w:r>
      <w:r w:rsidR="00544ECB" w:rsidRPr="003F553C">
        <w:rPr>
          <w:rFonts w:ascii="Arial" w:hAnsi="Arial" w:cs="Arial"/>
          <w:b/>
          <w:noProof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69"/>
        <w:gridCol w:w="4787"/>
        <w:gridCol w:w="2187"/>
      </w:tblGrid>
      <w:tr w:rsidR="004E6C70" w14:paraId="0A951ADF" w14:textId="77777777" w:rsidTr="004E6C70">
        <w:tc>
          <w:tcPr>
            <w:tcW w:w="2405" w:type="dxa"/>
            <w:shd w:val="clear" w:color="auto" w:fill="D0CECE" w:themeFill="background2" w:themeFillShade="E6"/>
          </w:tcPr>
          <w:p w14:paraId="383D14E7" w14:textId="77777777" w:rsidR="004E6C70" w:rsidRPr="004E6C70" w:rsidRDefault="004E6C70" w:rsidP="00BA4131">
            <w:pPr>
              <w:rPr>
                <w:rFonts w:ascii="Arial" w:hAnsi="Arial" w:cs="Arial"/>
                <w:szCs w:val="22"/>
              </w:rPr>
            </w:pPr>
            <w:r w:rsidRPr="004E6C70">
              <w:rPr>
                <w:rFonts w:ascii="Arial" w:hAnsi="Arial" w:cs="Arial"/>
                <w:szCs w:val="22"/>
              </w:rPr>
              <w:t>Priority</w:t>
            </w:r>
          </w:p>
        </w:tc>
        <w:tc>
          <w:tcPr>
            <w:tcW w:w="4569" w:type="dxa"/>
            <w:shd w:val="clear" w:color="auto" w:fill="D0CECE" w:themeFill="background2" w:themeFillShade="E6"/>
          </w:tcPr>
          <w:p w14:paraId="1A57C354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Key outcomes</w:t>
            </w:r>
          </w:p>
        </w:tc>
        <w:tc>
          <w:tcPr>
            <w:tcW w:w="4787" w:type="dxa"/>
            <w:shd w:val="clear" w:color="auto" w:fill="D0CECE" w:themeFill="background2" w:themeFillShade="E6"/>
          </w:tcPr>
          <w:p w14:paraId="33ED2616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Board Activity</w:t>
            </w:r>
          </w:p>
        </w:tc>
        <w:tc>
          <w:tcPr>
            <w:tcW w:w="2187" w:type="dxa"/>
            <w:shd w:val="clear" w:color="auto" w:fill="D0CECE" w:themeFill="background2" w:themeFillShade="E6"/>
          </w:tcPr>
          <w:p w14:paraId="2BDAF927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Timescales</w:t>
            </w:r>
          </w:p>
        </w:tc>
      </w:tr>
      <w:tr w:rsidR="004E6C70" w14:paraId="5CFDDE6B" w14:textId="77777777" w:rsidTr="00BA4131">
        <w:tc>
          <w:tcPr>
            <w:tcW w:w="2405" w:type="dxa"/>
            <w:vMerge w:val="restart"/>
          </w:tcPr>
          <w:p w14:paraId="3E345E21" w14:textId="77777777" w:rsidR="00CF4736" w:rsidRDefault="00CF4736" w:rsidP="00BA4131">
            <w:pPr>
              <w:rPr>
                <w:rFonts w:ascii="Arial" w:hAnsi="Arial" w:cs="Arial"/>
                <w:b/>
                <w:szCs w:val="22"/>
              </w:rPr>
            </w:pPr>
          </w:p>
          <w:p w14:paraId="15349E5A" w14:textId="77777777" w:rsidR="004E6C70" w:rsidRPr="00CF76F0" w:rsidRDefault="004E6C70" w:rsidP="00BA4131">
            <w:pPr>
              <w:rPr>
                <w:rFonts w:ascii="Arial" w:hAnsi="Arial" w:cs="Arial"/>
                <w:b/>
                <w:szCs w:val="22"/>
              </w:rPr>
            </w:pPr>
            <w:r w:rsidRPr="00CF76F0">
              <w:rPr>
                <w:rFonts w:ascii="Arial" w:hAnsi="Arial" w:cs="Arial"/>
                <w:b/>
                <w:szCs w:val="22"/>
              </w:rPr>
              <w:t>Housing and Planning</w:t>
            </w:r>
          </w:p>
        </w:tc>
        <w:tc>
          <w:tcPr>
            <w:tcW w:w="4569" w:type="dxa"/>
          </w:tcPr>
          <w:p w14:paraId="7A0BFE0A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1EABA529" w14:textId="77777777" w:rsidR="004E6C70" w:rsidRPr="00F96E23" w:rsidRDefault="004E6C70" w:rsidP="00BA4131">
            <w:pPr>
              <w:rPr>
                <w:rFonts w:ascii="Arial" w:hAnsi="Arial" w:cs="Arial"/>
                <w:szCs w:val="22"/>
              </w:rPr>
            </w:pPr>
            <w:r w:rsidRPr="00F96E23">
              <w:rPr>
                <w:rFonts w:ascii="Arial" w:hAnsi="Arial" w:cs="Arial"/>
                <w:szCs w:val="22"/>
              </w:rPr>
              <w:t>Council role in building more homes recognised in government policy</w:t>
            </w:r>
          </w:p>
        </w:tc>
        <w:tc>
          <w:tcPr>
            <w:tcW w:w="4787" w:type="dxa"/>
          </w:tcPr>
          <w:p w14:paraId="6E837038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39EBCDCB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Continue to influence the development of the government’s White paper and subsequent legislation.</w:t>
            </w:r>
          </w:p>
          <w:p w14:paraId="3D9093D0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42C05C95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Sponsor improvement work in this area </w:t>
            </w:r>
          </w:p>
          <w:p w14:paraId="2642AB8E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87" w:type="dxa"/>
          </w:tcPr>
          <w:p w14:paraId="565696F1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66BC3303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2017</w:t>
            </w:r>
          </w:p>
        </w:tc>
      </w:tr>
      <w:tr w:rsidR="004E6C70" w14:paraId="0ECD301D" w14:textId="77777777" w:rsidTr="00BA4131">
        <w:tc>
          <w:tcPr>
            <w:tcW w:w="2405" w:type="dxa"/>
            <w:vMerge/>
          </w:tcPr>
          <w:p w14:paraId="124A9108" w14:textId="77777777" w:rsidR="004E6C70" w:rsidRPr="00CF76F0" w:rsidRDefault="004E6C70" w:rsidP="00BA413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569" w:type="dxa"/>
          </w:tcPr>
          <w:p w14:paraId="391DAE9C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51AA916F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better funded, p</w:t>
            </w:r>
            <w:r w:rsidRPr="00F96E23">
              <w:rPr>
                <w:rFonts w:ascii="Arial" w:hAnsi="Arial" w:cs="Arial"/>
              </w:rPr>
              <w:t>roactive planning system delivering homes that communities need</w:t>
            </w:r>
          </w:p>
        </w:tc>
        <w:tc>
          <w:tcPr>
            <w:tcW w:w="4787" w:type="dxa"/>
          </w:tcPr>
          <w:p w14:paraId="4375167F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179A2BA3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continue to press government for local determination of planning fees</w:t>
            </w:r>
          </w:p>
          <w:p w14:paraId="68AC85A9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Pursuing mechanisms for capturing uplift in land values for investment in infrastructure</w:t>
            </w:r>
          </w:p>
          <w:p w14:paraId="1088DDAA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87" w:type="dxa"/>
          </w:tcPr>
          <w:p w14:paraId="38A96A0F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6DAC873D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2017</w:t>
            </w:r>
          </w:p>
        </w:tc>
      </w:tr>
      <w:tr w:rsidR="004E6C70" w14:paraId="22DEFCC8" w14:textId="77777777" w:rsidTr="00BA4131">
        <w:tc>
          <w:tcPr>
            <w:tcW w:w="2405" w:type="dxa"/>
            <w:vMerge/>
          </w:tcPr>
          <w:p w14:paraId="70BB933C" w14:textId="77777777" w:rsidR="004E6C70" w:rsidRPr="00CF76F0" w:rsidRDefault="004E6C70" w:rsidP="00BA413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569" w:type="dxa"/>
          </w:tcPr>
          <w:p w14:paraId="7DECCD3D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619F7ABC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Achieve a greater focus on preventing homelessness and improving the way </w:t>
            </w:r>
            <w:r w:rsidRPr="00F96E23">
              <w:rPr>
                <w:rFonts w:ascii="Arial" w:hAnsi="Arial" w:cs="Arial"/>
                <w:szCs w:val="22"/>
              </w:rPr>
              <w:t xml:space="preserve">vulnerable people and those in crisis </w:t>
            </w:r>
            <w:r>
              <w:rPr>
                <w:rFonts w:ascii="Arial" w:hAnsi="Arial" w:cs="Arial"/>
                <w:szCs w:val="22"/>
              </w:rPr>
              <w:t>are housed</w:t>
            </w:r>
            <w:r w:rsidRPr="00F96E23">
              <w:rPr>
                <w:rFonts w:ascii="Arial" w:hAnsi="Arial" w:cs="Arial"/>
                <w:szCs w:val="22"/>
              </w:rPr>
              <w:t xml:space="preserve"> </w:t>
            </w:r>
          </w:p>
          <w:p w14:paraId="670C68AB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87" w:type="dxa"/>
          </w:tcPr>
          <w:p w14:paraId="008AABD4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62185C55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 to ensure that the Homelessness Recognition Bill becomes and Act in a way that best meets the need of the homeless.</w:t>
            </w:r>
          </w:p>
          <w:p w14:paraId="5B9B1E84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Sponsor improvement work in this area </w:t>
            </w:r>
          </w:p>
        </w:tc>
        <w:tc>
          <w:tcPr>
            <w:tcW w:w="2187" w:type="dxa"/>
          </w:tcPr>
          <w:p w14:paraId="69E95D33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68EE8E89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2017</w:t>
            </w:r>
          </w:p>
        </w:tc>
      </w:tr>
      <w:tr w:rsidR="004E6C70" w14:paraId="4F35C8F8" w14:textId="77777777" w:rsidTr="00BA4131">
        <w:tc>
          <w:tcPr>
            <w:tcW w:w="2405" w:type="dxa"/>
            <w:vMerge/>
          </w:tcPr>
          <w:p w14:paraId="5F94446B" w14:textId="77777777" w:rsidR="004E6C70" w:rsidRPr="00CF76F0" w:rsidRDefault="004E6C70" w:rsidP="00BA413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569" w:type="dxa"/>
          </w:tcPr>
          <w:p w14:paraId="62EE917F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7721AAB9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Further mitigate the wort impacts of the Housing and Planning Bill through the secondary legislation phase in areas such as starter homes and pay to stay </w:t>
            </w:r>
          </w:p>
          <w:p w14:paraId="5611ACD0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87" w:type="dxa"/>
          </w:tcPr>
          <w:p w14:paraId="755098CA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7F1F8FA2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 with Ministers and Officials to find workable ways to implement this legislation.</w:t>
            </w:r>
          </w:p>
        </w:tc>
        <w:tc>
          <w:tcPr>
            <w:tcW w:w="2187" w:type="dxa"/>
          </w:tcPr>
          <w:p w14:paraId="30027904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78D64584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2017</w:t>
            </w:r>
          </w:p>
        </w:tc>
      </w:tr>
      <w:tr w:rsidR="004E6C70" w14:paraId="41BD9EEA" w14:textId="77777777" w:rsidTr="00BA4131">
        <w:tc>
          <w:tcPr>
            <w:tcW w:w="2405" w:type="dxa"/>
          </w:tcPr>
          <w:p w14:paraId="52E97F0E" w14:textId="77777777" w:rsidR="00CF4736" w:rsidRDefault="00CF4736" w:rsidP="00BA4131">
            <w:pPr>
              <w:rPr>
                <w:rFonts w:ascii="Arial" w:hAnsi="Arial" w:cs="Arial"/>
                <w:b/>
                <w:szCs w:val="22"/>
              </w:rPr>
            </w:pPr>
          </w:p>
          <w:p w14:paraId="5D6BC136" w14:textId="77777777" w:rsidR="004E6C70" w:rsidRPr="00CF76F0" w:rsidRDefault="004E6C70" w:rsidP="00BA4131">
            <w:pPr>
              <w:rPr>
                <w:rFonts w:ascii="Arial" w:hAnsi="Arial" w:cs="Arial"/>
                <w:b/>
                <w:szCs w:val="22"/>
              </w:rPr>
            </w:pPr>
            <w:r w:rsidRPr="00CF76F0">
              <w:rPr>
                <w:rFonts w:ascii="Arial" w:hAnsi="Arial" w:cs="Arial"/>
                <w:b/>
                <w:szCs w:val="22"/>
              </w:rPr>
              <w:t>Brexit</w:t>
            </w:r>
          </w:p>
        </w:tc>
        <w:tc>
          <w:tcPr>
            <w:tcW w:w="4569" w:type="dxa"/>
          </w:tcPr>
          <w:p w14:paraId="62BC1E51" w14:textId="77777777" w:rsidR="00CF4736" w:rsidRDefault="00CF4736" w:rsidP="00CF4736">
            <w:pPr>
              <w:rPr>
                <w:rFonts w:ascii="Arial" w:hAnsi="Arial" w:cs="Arial"/>
                <w:szCs w:val="22"/>
              </w:rPr>
            </w:pPr>
          </w:p>
          <w:p w14:paraId="75BC7779" w14:textId="7E43C219" w:rsidR="004E6C70" w:rsidRDefault="00CF4736" w:rsidP="00CF473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Councils maximise the opportunities and mitigate risks</w:t>
            </w:r>
          </w:p>
        </w:tc>
        <w:tc>
          <w:tcPr>
            <w:tcW w:w="4787" w:type="dxa"/>
          </w:tcPr>
          <w:p w14:paraId="65E3E848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735310B5" w14:textId="77777777" w:rsidR="004E6C70" w:rsidRDefault="00CF4736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Board to work with Councils and government to understand opportunities and risks in those areas under its remit.</w:t>
            </w:r>
          </w:p>
          <w:p w14:paraId="4931DEB2" w14:textId="0183318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87" w:type="dxa"/>
          </w:tcPr>
          <w:p w14:paraId="54B4E7F0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19392E9B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2017</w:t>
            </w:r>
          </w:p>
        </w:tc>
      </w:tr>
      <w:tr w:rsidR="004E6C70" w14:paraId="77DB352A" w14:textId="77777777" w:rsidTr="00BA4131">
        <w:tc>
          <w:tcPr>
            <w:tcW w:w="2405" w:type="dxa"/>
          </w:tcPr>
          <w:p w14:paraId="3B32C984" w14:textId="77777777" w:rsidR="00CF4736" w:rsidRDefault="00CF4736" w:rsidP="00BA4131">
            <w:pPr>
              <w:rPr>
                <w:rFonts w:ascii="Arial" w:hAnsi="Arial" w:cs="Arial"/>
                <w:b/>
                <w:lang w:eastAsia="en-US"/>
              </w:rPr>
            </w:pPr>
          </w:p>
          <w:p w14:paraId="2286501A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 w:rsidRPr="001F2BB2">
              <w:rPr>
                <w:rFonts w:ascii="Arial" w:hAnsi="Arial" w:cs="Arial"/>
                <w:b/>
                <w:lang w:eastAsia="en-US"/>
              </w:rPr>
              <w:t>Waste and recycling</w:t>
            </w:r>
          </w:p>
        </w:tc>
        <w:tc>
          <w:tcPr>
            <w:tcW w:w="4569" w:type="dxa"/>
          </w:tcPr>
          <w:p w14:paraId="266992F0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0524FD9A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 w:rsidRPr="00CF76F0">
              <w:rPr>
                <w:rFonts w:ascii="Arial" w:hAnsi="Arial" w:cs="Arial"/>
                <w:szCs w:val="22"/>
              </w:rPr>
              <w:t xml:space="preserve">Local authorities </w:t>
            </w:r>
            <w:r>
              <w:rPr>
                <w:rFonts w:ascii="Arial" w:hAnsi="Arial" w:cs="Arial"/>
                <w:szCs w:val="22"/>
              </w:rPr>
              <w:t xml:space="preserve">have </w:t>
            </w:r>
            <w:r w:rsidRPr="00CF76F0">
              <w:rPr>
                <w:rFonts w:ascii="Arial" w:hAnsi="Arial" w:cs="Arial"/>
                <w:szCs w:val="22"/>
              </w:rPr>
              <w:t xml:space="preserve">the freedom to collect </w:t>
            </w:r>
            <w:r>
              <w:rPr>
                <w:rFonts w:ascii="Arial" w:hAnsi="Arial" w:cs="Arial"/>
                <w:szCs w:val="22"/>
              </w:rPr>
              <w:t xml:space="preserve">and dispose of </w:t>
            </w:r>
            <w:r w:rsidRPr="00CF76F0">
              <w:rPr>
                <w:rFonts w:ascii="Arial" w:hAnsi="Arial" w:cs="Arial"/>
                <w:szCs w:val="22"/>
              </w:rPr>
              <w:t>waste in the way that is best suited to their residents.</w:t>
            </w:r>
          </w:p>
          <w:p w14:paraId="15BBA7CD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87" w:type="dxa"/>
          </w:tcPr>
          <w:p w14:paraId="3B36CDB1" w14:textId="77777777" w:rsidR="00CF4736" w:rsidRDefault="00CF4736" w:rsidP="00CF4736">
            <w:pPr>
              <w:rPr>
                <w:rFonts w:ascii="Arial" w:hAnsi="Arial" w:cs="Arial"/>
                <w:szCs w:val="22"/>
              </w:rPr>
            </w:pPr>
          </w:p>
          <w:p w14:paraId="5B211958" w14:textId="1E713D4A" w:rsidR="004E6C70" w:rsidRDefault="004E6C70" w:rsidP="00CF473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short review of</w:t>
            </w:r>
            <w:r w:rsidR="00CF4736">
              <w:rPr>
                <w:rFonts w:ascii="Arial" w:hAnsi="Arial" w:cs="Arial"/>
                <w:szCs w:val="22"/>
              </w:rPr>
              <w:t xml:space="preserve"> LGA policy in</w:t>
            </w:r>
            <w:r>
              <w:rPr>
                <w:rFonts w:ascii="Arial" w:hAnsi="Arial" w:cs="Arial"/>
                <w:szCs w:val="22"/>
              </w:rPr>
              <w:t xml:space="preserve"> these areas </w:t>
            </w:r>
          </w:p>
        </w:tc>
        <w:tc>
          <w:tcPr>
            <w:tcW w:w="2187" w:type="dxa"/>
          </w:tcPr>
          <w:p w14:paraId="407DC43C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1FD635D0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2017</w:t>
            </w:r>
          </w:p>
        </w:tc>
      </w:tr>
      <w:tr w:rsidR="004E6C70" w14:paraId="5031A9E1" w14:textId="77777777" w:rsidTr="00BA4131">
        <w:tc>
          <w:tcPr>
            <w:tcW w:w="2405" w:type="dxa"/>
            <w:vMerge w:val="restart"/>
          </w:tcPr>
          <w:p w14:paraId="33DE0FD5" w14:textId="77777777" w:rsidR="00CF4736" w:rsidRDefault="00CF4736" w:rsidP="00BA4131">
            <w:pPr>
              <w:rPr>
                <w:rFonts w:ascii="Arial" w:hAnsi="Arial" w:cs="Arial"/>
                <w:b/>
                <w:szCs w:val="22"/>
              </w:rPr>
            </w:pPr>
          </w:p>
          <w:p w14:paraId="2F938CD6" w14:textId="77777777" w:rsidR="004E6C70" w:rsidRPr="004B13C8" w:rsidRDefault="004E6C70" w:rsidP="00BA4131">
            <w:pPr>
              <w:rPr>
                <w:rFonts w:ascii="Arial" w:hAnsi="Arial" w:cs="Arial"/>
                <w:b/>
                <w:szCs w:val="22"/>
              </w:rPr>
            </w:pPr>
            <w:r w:rsidRPr="004B13C8">
              <w:rPr>
                <w:rFonts w:ascii="Arial" w:hAnsi="Arial" w:cs="Arial"/>
                <w:b/>
                <w:szCs w:val="22"/>
              </w:rPr>
              <w:t>Transport</w:t>
            </w:r>
          </w:p>
        </w:tc>
        <w:tc>
          <w:tcPr>
            <w:tcW w:w="4569" w:type="dxa"/>
          </w:tcPr>
          <w:p w14:paraId="691236A4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758EDF9A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Increased certainty and greater flexibility of transport funding and recognition of the value of investing to address the pothole problem.</w:t>
            </w:r>
          </w:p>
          <w:p w14:paraId="4A8EBBE4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87" w:type="dxa"/>
          </w:tcPr>
          <w:p w14:paraId="7AC730BA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60CB04F9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Lobbying through the Autumn statement</w:t>
            </w:r>
          </w:p>
        </w:tc>
        <w:tc>
          <w:tcPr>
            <w:tcW w:w="2187" w:type="dxa"/>
          </w:tcPr>
          <w:p w14:paraId="46A55923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678ABAEB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2013</w:t>
            </w:r>
          </w:p>
        </w:tc>
      </w:tr>
      <w:tr w:rsidR="004E6C70" w14:paraId="728CA656" w14:textId="77777777" w:rsidTr="00BA4131">
        <w:tc>
          <w:tcPr>
            <w:tcW w:w="2405" w:type="dxa"/>
            <w:vMerge/>
          </w:tcPr>
          <w:p w14:paraId="1C4EF4C8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69" w:type="dxa"/>
          </w:tcPr>
          <w:p w14:paraId="5059806F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1C11608B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Improve congestion through</w:t>
            </w:r>
            <w:r w:rsidRPr="00FC55C2">
              <w:rPr>
                <w:rFonts w:ascii="Arial" w:hAnsi="Arial" w:cs="Arial"/>
                <w:szCs w:val="22"/>
              </w:rPr>
              <w:t xml:space="preserve"> the full enacting of TMA part 6 in order for councils to enforce rules designed to keep traffic moving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61B17DB3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87" w:type="dxa"/>
          </w:tcPr>
          <w:p w14:paraId="14A111AC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7130279F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Lobbying through the Buses Bill</w:t>
            </w:r>
          </w:p>
        </w:tc>
        <w:tc>
          <w:tcPr>
            <w:tcW w:w="2187" w:type="dxa"/>
          </w:tcPr>
          <w:p w14:paraId="022FA3D1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5F6CF8AB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2013</w:t>
            </w:r>
          </w:p>
        </w:tc>
      </w:tr>
      <w:tr w:rsidR="004E6C70" w14:paraId="43293472" w14:textId="77777777" w:rsidTr="00BA4131">
        <w:tc>
          <w:tcPr>
            <w:tcW w:w="2405" w:type="dxa"/>
            <w:vMerge/>
          </w:tcPr>
          <w:p w14:paraId="18D638DD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69" w:type="dxa"/>
          </w:tcPr>
          <w:p w14:paraId="78AC4278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1CAB6002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Improved </w:t>
            </w:r>
            <w:r w:rsidRPr="00C44760">
              <w:rPr>
                <w:rFonts w:ascii="Arial" w:hAnsi="Arial" w:cs="Arial"/>
                <w:b/>
                <w:szCs w:val="22"/>
              </w:rPr>
              <w:t>bus services</w:t>
            </w:r>
            <w:r>
              <w:rPr>
                <w:rFonts w:ascii="Arial" w:hAnsi="Arial" w:cs="Arial"/>
                <w:szCs w:val="22"/>
              </w:rPr>
              <w:t xml:space="preserve"> by all</w:t>
            </w:r>
            <w:r w:rsidRPr="00FC55C2">
              <w:rPr>
                <w:rFonts w:ascii="Arial" w:hAnsi="Arial" w:cs="Arial"/>
                <w:szCs w:val="22"/>
              </w:rPr>
              <w:t xml:space="preserve"> areas </w:t>
            </w:r>
            <w:r>
              <w:rPr>
                <w:rFonts w:ascii="Arial" w:hAnsi="Arial" w:cs="Arial"/>
                <w:szCs w:val="22"/>
              </w:rPr>
              <w:t xml:space="preserve">having </w:t>
            </w:r>
            <w:r w:rsidRPr="00FC55C2">
              <w:rPr>
                <w:rFonts w:ascii="Arial" w:hAnsi="Arial" w:cs="Arial"/>
                <w:szCs w:val="22"/>
              </w:rPr>
              <w:t>automatic rights to bus franchising powers.</w:t>
            </w:r>
          </w:p>
          <w:p w14:paraId="6D50476E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87" w:type="dxa"/>
          </w:tcPr>
          <w:p w14:paraId="037EE29F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3BD13C4D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Lobbying through the Buses Bill</w:t>
            </w:r>
          </w:p>
        </w:tc>
        <w:tc>
          <w:tcPr>
            <w:tcW w:w="2187" w:type="dxa"/>
          </w:tcPr>
          <w:p w14:paraId="65031AD4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</w:p>
        </w:tc>
      </w:tr>
      <w:tr w:rsidR="004E6C70" w14:paraId="18598851" w14:textId="77777777" w:rsidTr="00BA4131">
        <w:tc>
          <w:tcPr>
            <w:tcW w:w="2405" w:type="dxa"/>
            <w:vMerge w:val="restart"/>
          </w:tcPr>
          <w:p w14:paraId="35C89CE4" w14:textId="77777777" w:rsidR="00CF4736" w:rsidRDefault="00CF4736" w:rsidP="00BA4131">
            <w:pPr>
              <w:rPr>
                <w:rFonts w:ascii="Arial" w:hAnsi="Arial" w:cs="Arial"/>
                <w:b/>
                <w:szCs w:val="22"/>
              </w:rPr>
            </w:pPr>
          </w:p>
          <w:p w14:paraId="1ECDD5CE" w14:textId="77777777" w:rsidR="004E6C70" w:rsidRPr="008D4F60" w:rsidRDefault="004E6C70" w:rsidP="00BA4131">
            <w:pPr>
              <w:rPr>
                <w:rFonts w:ascii="Arial" w:hAnsi="Arial" w:cs="Arial"/>
                <w:b/>
                <w:szCs w:val="22"/>
              </w:rPr>
            </w:pPr>
            <w:r w:rsidRPr="008D4F60">
              <w:rPr>
                <w:rFonts w:ascii="Arial" w:hAnsi="Arial" w:cs="Arial"/>
                <w:b/>
                <w:szCs w:val="22"/>
              </w:rPr>
              <w:t>Economy</w:t>
            </w:r>
          </w:p>
        </w:tc>
        <w:tc>
          <w:tcPr>
            <w:tcW w:w="4569" w:type="dxa"/>
          </w:tcPr>
          <w:p w14:paraId="6C37BA55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598FF1E3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Establishing a credible option for post 2020 successor to </w:t>
            </w:r>
            <w:r w:rsidRPr="00C44760">
              <w:rPr>
                <w:rFonts w:ascii="Arial" w:hAnsi="Arial" w:cs="Arial"/>
                <w:b/>
                <w:szCs w:val="22"/>
              </w:rPr>
              <w:t>regional aid</w:t>
            </w:r>
          </w:p>
        </w:tc>
        <w:tc>
          <w:tcPr>
            <w:tcW w:w="4787" w:type="dxa"/>
          </w:tcPr>
          <w:p w14:paraId="30F4311C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023F7832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Working closely with the LGA Resources Board to establish options and lobby government</w:t>
            </w:r>
          </w:p>
        </w:tc>
        <w:tc>
          <w:tcPr>
            <w:tcW w:w="2187" w:type="dxa"/>
          </w:tcPr>
          <w:p w14:paraId="70B61E72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57F2CAC3" w14:textId="1A1347CC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2017</w:t>
            </w:r>
          </w:p>
        </w:tc>
      </w:tr>
      <w:tr w:rsidR="004E6C70" w14:paraId="3C63EE2B" w14:textId="77777777" w:rsidTr="00BA4131">
        <w:tc>
          <w:tcPr>
            <w:tcW w:w="2405" w:type="dxa"/>
            <w:vMerge/>
          </w:tcPr>
          <w:p w14:paraId="3DCF3E01" w14:textId="77777777" w:rsidR="004E6C70" w:rsidRPr="008D4F60" w:rsidRDefault="004E6C70" w:rsidP="00BA413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569" w:type="dxa"/>
          </w:tcPr>
          <w:p w14:paraId="547821AB" w14:textId="77777777" w:rsidR="00CF4736" w:rsidRDefault="004E6C70" w:rsidP="00BA4131">
            <w:r>
              <w:rPr>
                <w:rFonts w:ascii="Arial" w:hAnsi="Arial" w:cs="Arial"/>
                <w:szCs w:val="22"/>
              </w:rPr>
              <w:t xml:space="preserve">That a future </w:t>
            </w:r>
            <w:r w:rsidRPr="00C44760">
              <w:rPr>
                <w:rFonts w:ascii="Arial" w:hAnsi="Arial" w:cs="Arial"/>
                <w:b/>
                <w:szCs w:val="22"/>
              </w:rPr>
              <w:t>industrial strategy</w:t>
            </w:r>
            <w:r w:rsidR="00CF4736">
              <w:t>:</w:t>
            </w:r>
          </w:p>
          <w:p w14:paraId="528A7724" w14:textId="1FB0717E" w:rsidR="004E6C70" w:rsidRPr="00C4476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•</w:t>
            </w:r>
            <w:r w:rsidRPr="00C44760">
              <w:rPr>
                <w:rFonts w:ascii="Arial" w:hAnsi="Arial" w:cs="Arial"/>
                <w:szCs w:val="22"/>
              </w:rPr>
              <w:t>recognise the importance of place.</w:t>
            </w:r>
          </w:p>
          <w:p w14:paraId="2509848F" w14:textId="77777777" w:rsidR="004E6C70" w:rsidRPr="00C44760" w:rsidRDefault="004E6C70" w:rsidP="00BA4131">
            <w:pPr>
              <w:rPr>
                <w:rFonts w:ascii="Arial" w:hAnsi="Arial" w:cs="Arial"/>
                <w:szCs w:val="22"/>
              </w:rPr>
            </w:pPr>
            <w:r w:rsidRPr="00C44760">
              <w:rPr>
                <w:rFonts w:ascii="Arial" w:hAnsi="Arial" w:cs="Arial"/>
                <w:szCs w:val="22"/>
              </w:rPr>
              <w:t>•</w:t>
            </w:r>
            <w:r>
              <w:rPr>
                <w:rFonts w:ascii="Arial" w:hAnsi="Arial" w:cs="Arial"/>
                <w:szCs w:val="22"/>
              </w:rPr>
              <w:t xml:space="preserve">gives </w:t>
            </w:r>
            <w:r w:rsidRPr="00C44760">
              <w:rPr>
                <w:rFonts w:ascii="Arial" w:hAnsi="Arial" w:cs="Arial"/>
                <w:szCs w:val="22"/>
              </w:rPr>
              <w:t xml:space="preserve">Local leaders </w:t>
            </w:r>
            <w:r>
              <w:rPr>
                <w:rFonts w:ascii="Arial" w:hAnsi="Arial" w:cs="Arial"/>
                <w:szCs w:val="22"/>
              </w:rPr>
              <w:t xml:space="preserve">control </w:t>
            </w:r>
            <w:r w:rsidRPr="00C44760">
              <w:rPr>
                <w:rFonts w:ascii="Arial" w:hAnsi="Arial" w:cs="Arial"/>
                <w:szCs w:val="22"/>
              </w:rPr>
              <w:t>over growth related funding.</w:t>
            </w:r>
          </w:p>
          <w:p w14:paraId="26843A48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•reflects</w:t>
            </w:r>
            <w:r w:rsidRPr="00C44760">
              <w:rPr>
                <w:rFonts w:ascii="Arial" w:hAnsi="Arial" w:cs="Arial"/>
                <w:szCs w:val="22"/>
              </w:rPr>
              <w:t xml:space="preserve"> local economic needs, and therefore ensuring skills and labour supply which meet employers’ current or future skills gaps and shortages.</w:t>
            </w:r>
          </w:p>
          <w:p w14:paraId="21AB81DD" w14:textId="75E9D458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87" w:type="dxa"/>
          </w:tcPr>
          <w:p w14:paraId="4BA1B20F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Continue to refine the LGA’s position on the industrial strategy and to work with Ministers in securing an effective outcome for local areas</w:t>
            </w:r>
          </w:p>
        </w:tc>
        <w:tc>
          <w:tcPr>
            <w:tcW w:w="2187" w:type="dxa"/>
          </w:tcPr>
          <w:p w14:paraId="1538BAD3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2017</w:t>
            </w:r>
          </w:p>
        </w:tc>
      </w:tr>
      <w:tr w:rsidR="004E6C70" w14:paraId="40753E08" w14:textId="77777777" w:rsidTr="00BA4131">
        <w:tc>
          <w:tcPr>
            <w:tcW w:w="2405" w:type="dxa"/>
          </w:tcPr>
          <w:p w14:paraId="15BAE43E" w14:textId="77777777" w:rsidR="00CF4736" w:rsidRDefault="00CF4736" w:rsidP="00BA4131">
            <w:pPr>
              <w:rPr>
                <w:rFonts w:ascii="Arial" w:hAnsi="Arial" w:cs="Arial"/>
                <w:b/>
                <w:szCs w:val="22"/>
              </w:rPr>
            </w:pPr>
          </w:p>
          <w:p w14:paraId="60B4C654" w14:textId="77777777" w:rsidR="004E6C70" w:rsidRPr="008D4F60" w:rsidRDefault="004E6C70" w:rsidP="00BA4131">
            <w:pPr>
              <w:rPr>
                <w:rFonts w:ascii="Arial" w:hAnsi="Arial" w:cs="Arial"/>
                <w:b/>
                <w:szCs w:val="22"/>
              </w:rPr>
            </w:pPr>
            <w:r w:rsidRPr="008D4F60">
              <w:rPr>
                <w:rFonts w:ascii="Arial" w:hAnsi="Arial" w:cs="Arial"/>
                <w:b/>
                <w:szCs w:val="22"/>
              </w:rPr>
              <w:t>Flooding</w:t>
            </w:r>
          </w:p>
        </w:tc>
        <w:tc>
          <w:tcPr>
            <w:tcW w:w="4569" w:type="dxa"/>
          </w:tcPr>
          <w:p w14:paraId="3DD2D67F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12297523" w14:textId="77777777" w:rsidR="004E6C70" w:rsidRPr="00C4476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Achieve </w:t>
            </w:r>
            <w:r w:rsidRPr="00C44760">
              <w:rPr>
                <w:rFonts w:ascii="Arial" w:hAnsi="Arial" w:cs="Arial"/>
                <w:szCs w:val="22"/>
              </w:rPr>
              <w:t xml:space="preserve">increased </w:t>
            </w:r>
            <w:r>
              <w:rPr>
                <w:rFonts w:ascii="Arial" w:hAnsi="Arial" w:cs="Arial"/>
                <w:szCs w:val="22"/>
              </w:rPr>
              <w:t xml:space="preserve">local leadership and </w:t>
            </w:r>
            <w:r w:rsidRPr="00C44760">
              <w:rPr>
                <w:rFonts w:ascii="Arial" w:hAnsi="Arial" w:cs="Arial"/>
                <w:szCs w:val="22"/>
              </w:rPr>
              <w:t>flexibility in the current ap</w:t>
            </w:r>
            <w:r>
              <w:rPr>
                <w:rFonts w:ascii="Arial" w:hAnsi="Arial" w:cs="Arial"/>
                <w:szCs w:val="22"/>
              </w:rPr>
              <w:t>proach to flood risk management, with devolved</w:t>
            </w:r>
            <w:r w:rsidRPr="00C44760">
              <w:rPr>
                <w:rFonts w:ascii="Arial" w:hAnsi="Arial" w:cs="Arial"/>
                <w:szCs w:val="22"/>
              </w:rPr>
              <w:t xml:space="preserve"> capital and revenue funding, so that it is spent in ways that better reflect the needs of local areas</w:t>
            </w:r>
          </w:p>
          <w:p w14:paraId="5B7F736A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</w:p>
          <w:p w14:paraId="437B9016" w14:textId="77777777" w:rsidR="004E6C70" w:rsidRPr="00C44760" w:rsidRDefault="004E6C70" w:rsidP="00BA4131">
            <w:pPr>
              <w:rPr>
                <w:rFonts w:ascii="Arial" w:hAnsi="Arial" w:cs="Arial"/>
                <w:szCs w:val="22"/>
              </w:rPr>
            </w:pPr>
            <w:r w:rsidRPr="00C44760">
              <w:rPr>
                <w:rFonts w:ascii="Arial" w:hAnsi="Arial" w:cs="Arial"/>
                <w:szCs w:val="22"/>
              </w:rPr>
              <w:t xml:space="preserve">Areas to be able to use precepts as a mechanism for increasing funding where there is local agreement </w:t>
            </w:r>
          </w:p>
          <w:p w14:paraId="76536904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 w:rsidRPr="00C44760">
              <w:rPr>
                <w:rFonts w:ascii="Arial" w:hAnsi="Arial" w:cs="Arial"/>
                <w:szCs w:val="22"/>
              </w:rPr>
              <w:t xml:space="preserve">Councils to be able to set charges to enable full cost-recovery of statutory duties.    </w:t>
            </w:r>
          </w:p>
        </w:tc>
        <w:tc>
          <w:tcPr>
            <w:tcW w:w="4787" w:type="dxa"/>
          </w:tcPr>
          <w:p w14:paraId="5C7B93E9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78F0B42A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Achieved through continuing discussions with government through the Autumn Statement and beyond.</w:t>
            </w:r>
          </w:p>
        </w:tc>
        <w:tc>
          <w:tcPr>
            <w:tcW w:w="2187" w:type="dxa"/>
          </w:tcPr>
          <w:p w14:paraId="0BE64051" w14:textId="77777777" w:rsidR="00CF4736" w:rsidRDefault="00CF4736" w:rsidP="00BA4131">
            <w:pPr>
              <w:rPr>
                <w:rFonts w:ascii="Arial" w:hAnsi="Arial" w:cs="Arial"/>
                <w:szCs w:val="22"/>
              </w:rPr>
            </w:pPr>
          </w:p>
          <w:p w14:paraId="453C96E2" w14:textId="77777777" w:rsidR="004E6C70" w:rsidRDefault="004E6C70" w:rsidP="00BA4131">
            <w:pPr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t>July 2017</w:t>
            </w:r>
          </w:p>
        </w:tc>
      </w:tr>
    </w:tbl>
    <w:p w14:paraId="720A4C89" w14:textId="77777777" w:rsidR="00544ECB" w:rsidRPr="003F553C" w:rsidRDefault="00544ECB" w:rsidP="00544ECB">
      <w:pPr>
        <w:pStyle w:val="MainText"/>
        <w:rPr>
          <w:rFonts w:ascii="Arial" w:hAnsi="Arial" w:cs="Arial"/>
          <w:szCs w:val="22"/>
        </w:rPr>
      </w:pPr>
    </w:p>
    <w:p w14:paraId="45D700A4" w14:textId="77777777" w:rsidR="00707647" w:rsidRPr="003F553C" w:rsidRDefault="00CF4736" w:rsidP="004438F5">
      <w:pPr>
        <w:rPr>
          <w:rFonts w:ascii="Arial" w:hAnsi="Arial" w:cs="Arial"/>
        </w:rPr>
      </w:pPr>
    </w:p>
    <w:sectPr w:rsidR="00707647" w:rsidRPr="003F553C" w:rsidSect="00544EC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A191D" w14:textId="77777777" w:rsidR="00DF2F13" w:rsidRDefault="00DF2F13" w:rsidP="00DF2F13">
      <w:r>
        <w:separator/>
      </w:r>
    </w:p>
  </w:endnote>
  <w:endnote w:type="continuationSeparator" w:id="0">
    <w:p w14:paraId="15399D09" w14:textId="77777777" w:rsidR="00DF2F13" w:rsidRDefault="00DF2F13" w:rsidP="00DF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E7DA8" w14:textId="77777777" w:rsidR="00DF2F13" w:rsidRDefault="00DF2F13" w:rsidP="00DF2F13">
      <w:r>
        <w:separator/>
      </w:r>
    </w:p>
  </w:footnote>
  <w:footnote w:type="continuationSeparator" w:id="0">
    <w:p w14:paraId="293F1332" w14:textId="77777777" w:rsidR="00DF2F13" w:rsidRDefault="00DF2F13" w:rsidP="00DF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4323E" w14:textId="77777777" w:rsidR="00DF2F13" w:rsidRDefault="00DF2F13">
    <w:pPr>
      <w:pStyle w:val="Header"/>
    </w:pPr>
  </w:p>
  <w:tbl>
    <w:tblPr>
      <w:tblStyle w:val="TableGrid"/>
      <w:tblW w:w="14318" w:type="dxa"/>
      <w:tblInd w:w="-1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774"/>
      <w:gridCol w:w="3544"/>
    </w:tblGrid>
    <w:tr w:rsidR="00DF2F13" w:rsidRPr="00BA7976" w14:paraId="6906658D" w14:textId="77777777" w:rsidTr="00544ECB">
      <w:trPr>
        <w:trHeight w:val="848"/>
      </w:trPr>
      <w:tc>
        <w:tcPr>
          <w:tcW w:w="10774" w:type="dxa"/>
        </w:tcPr>
        <w:p w14:paraId="7C3863F0" w14:textId="77777777" w:rsidR="00DF2F13" w:rsidRPr="00BA7976" w:rsidRDefault="00DF2F13" w:rsidP="00DF2F13">
          <w:pPr>
            <w:tabs>
              <w:tab w:val="left" w:pos="1230"/>
            </w:tabs>
          </w:pPr>
          <w:r w:rsidRPr="00BA7976">
            <w:rPr>
              <w:noProof/>
            </w:rPr>
            <w:drawing>
              <wp:inline distT="0" distB="0" distL="0" distR="0" wp14:anchorId="00AC5DB5" wp14:editId="6F938AFE">
                <wp:extent cx="1424940" cy="854710"/>
                <wp:effectExtent l="0" t="0" r="3810" b="2540"/>
                <wp:docPr id="1" name="Picture 1" descr="LG_Association_RGB for A4 4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RGB for A4 4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1A5EF237" w14:textId="6FE53888" w:rsidR="00DF2F13" w:rsidRPr="00BA7976" w:rsidRDefault="00CF432E" w:rsidP="00DF2F13">
          <w:pPr>
            <w:tabs>
              <w:tab w:val="center" w:pos="4153"/>
              <w:tab w:val="right" w:pos="8306"/>
            </w:tabs>
            <w:rPr>
              <w:b/>
            </w:rPr>
          </w:pPr>
          <w:r>
            <w:rPr>
              <w:rFonts w:ascii="Arial" w:hAnsi="Arial" w:cs="Arial"/>
              <w:b/>
              <w:szCs w:val="24"/>
            </w:rPr>
            <w:t>Environment, Economy, Housing and Transport Board</w:t>
          </w:r>
        </w:p>
        <w:p w14:paraId="477EDD8E" w14:textId="2D2F6B88" w:rsidR="00DF2F13" w:rsidRPr="00BA7976" w:rsidRDefault="00CF432E" w:rsidP="00DF2F13">
          <w:pPr>
            <w:tabs>
              <w:tab w:val="center" w:pos="4153"/>
              <w:tab w:val="right" w:pos="8306"/>
            </w:tabs>
            <w:spacing w:before="60"/>
            <w:rPr>
              <w:b/>
            </w:rPr>
          </w:pPr>
          <w:r>
            <w:rPr>
              <w:rFonts w:ascii="Arial" w:hAnsi="Arial" w:cs="Arial"/>
              <w:szCs w:val="24"/>
            </w:rPr>
            <w:t>15 November</w:t>
          </w:r>
          <w:r w:rsidR="00DF2F13" w:rsidRPr="00BA7976">
            <w:rPr>
              <w:rFonts w:ascii="Arial" w:hAnsi="Arial" w:cs="Arial"/>
              <w:szCs w:val="24"/>
            </w:rPr>
            <w:t xml:space="preserve"> 201</w:t>
          </w:r>
          <w:r w:rsidR="00DF2F13">
            <w:rPr>
              <w:rFonts w:ascii="Arial" w:hAnsi="Arial" w:cs="Arial"/>
              <w:szCs w:val="24"/>
            </w:rPr>
            <w:t>6</w:t>
          </w:r>
        </w:p>
      </w:tc>
    </w:tr>
  </w:tbl>
  <w:p w14:paraId="3572D1AD" w14:textId="77777777" w:rsidR="00DF2F13" w:rsidRDefault="00DF2F13" w:rsidP="00DF2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D9A"/>
    <w:multiLevelType w:val="hybridMultilevel"/>
    <w:tmpl w:val="A3161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375"/>
    <w:multiLevelType w:val="hybridMultilevel"/>
    <w:tmpl w:val="03A29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7C93"/>
    <w:multiLevelType w:val="hybridMultilevel"/>
    <w:tmpl w:val="21CA870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3326C"/>
    <w:multiLevelType w:val="hybridMultilevel"/>
    <w:tmpl w:val="266C7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4547"/>
    <w:multiLevelType w:val="hybridMultilevel"/>
    <w:tmpl w:val="D4E2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C1A9B"/>
    <w:multiLevelType w:val="hybridMultilevel"/>
    <w:tmpl w:val="FD4A8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83503"/>
    <w:multiLevelType w:val="hybridMultilevel"/>
    <w:tmpl w:val="FF78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81FBF"/>
    <w:multiLevelType w:val="hybridMultilevel"/>
    <w:tmpl w:val="3F90EC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004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4F5B63"/>
    <w:multiLevelType w:val="hybridMultilevel"/>
    <w:tmpl w:val="E94E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74B43"/>
    <w:multiLevelType w:val="multilevel"/>
    <w:tmpl w:val="1054E4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3E731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13"/>
    <w:rsid w:val="00276332"/>
    <w:rsid w:val="003F553C"/>
    <w:rsid w:val="004438F5"/>
    <w:rsid w:val="004E6C70"/>
    <w:rsid w:val="00544ECB"/>
    <w:rsid w:val="005742C7"/>
    <w:rsid w:val="0072721D"/>
    <w:rsid w:val="00823F25"/>
    <w:rsid w:val="009445FA"/>
    <w:rsid w:val="00C36504"/>
    <w:rsid w:val="00C925CF"/>
    <w:rsid w:val="00CF432E"/>
    <w:rsid w:val="00CF4736"/>
    <w:rsid w:val="00D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D3AEE3"/>
  <w15:chartTrackingRefBased/>
  <w15:docId w15:val="{E826AFF8-C42A-405F-91AB-F95BD387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C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CF432E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F13"/>
  </w:style>
  <w:style w:type="paragraph" w:styleId="Footer">
    <w:name w:val="footer"/>
    <w:basedOn w:val="Normal"/>
    <w:link w:val="FooterChar"/>
    <w:uiPriority w:val="99"/>
    <w:unhideWhenUsed/>
    <w:rsid w:val="00DF2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F13"/>
  </w:style>
  <w:style w:type="table" w:styleId="TableGrid">
    <w:name w:val="Table Grid"/>
    <w:basedOn w:val="TableNormal"/>
    <w:uiPriority w:val="39"/>
    <w:rsid w:val="00DF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432E"/>
    <w:rPr>
      <w:rFonts w:ascii="Arial" w:eastAsia="Arial" w:hAnsi="Arial" w:cs="Arial"/>
      <w:b/>
      <w:color w:val="000000"/>
      <w:lang w:eastAsia="en-GB"/>
    </w:rPr>
  </w:style>
  <w:style w:type="paragraph" w:customStyle="1" w:styleId="MainText">
    <w:name w:val="Main Text"/>
    <w:basedOn w:val="Normal"/>
    <w:link w:val="MainTextChar"/>
    <w:rsid w:val="00CF432E"/>
    <w:pPr>
      <w:spacing w:line="280" w:lineRule="exact"/>
    </w:pPr>
  </w:style>
  <w:style w:type="paragraph" w:customStyle="1" w:styleId="LGAItemNoHeading">
    <w:name w:val="LGA Item No Heading"/>
    <w:basedOn w:val="MainText"/>
    <w:rsid w:val="00CF432E"/>
    <w:pPr>
      <w:spacing w:before="600" w:after="240"/>
    </w:pPr>
    <w:rPr>
      <w:rFonts w:ascii="Frutiger 55 Roman" w:hAnsi="Frutiger 55 Roman"/>
      <w:b/>
      <w:sz w:val="32"/>
    </w:rPr>
  </w:style>
  <w:style w:type="character" w:customStyle="1" w:styleId="MainTextChar">
    <w:name w:val="Main Text Char"/>
    <w:link w:val="MainText"/>
    <w:locked/>
    <w:rsid w:val="00CF432E"/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uiPriority w:val="99"/>
    <w:rsid w:val="00544E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E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EAB03B2E8D04DBFAEDF240153C527" ma:contentTypeVersion="4" ma:contentTypeDescription="Create a new document." ma:contentTypeScope="" ma:versionID="9f0bff8d5b5cb56154aa8e1055f6d42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F2056-938B-4AD5-AA6E-717DA26460A6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1c8a0e75-f4bc-4eb4-8ed0-578eaea9e1c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8febe6a-14d9-43ab-83c3-c48f478fa47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346312-388A-4367-827F-75CB429BD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4325D-0FFB-4331-B2FB-76D61A4DD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F782A516</Template>
  <TotalTime>8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Ling</dc:creator>
  <cp:keywords/>
  <dc:description/>
  <cp:lastModifiedBy>Joseph Ling</cp:lastModifiedBy>
  <cp:revision>4</cp:revision>
  <dcterms:created xsi:type="dcterms:W3CDTF">2016-11-08T13:55:00Z</dcterms:created>
  <dcterms:modified xsi:type="dcterms:W3CDTF">2016-11-08T17:07:00Z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0x0101000F4EAB03B2E8D04DBFAEDF240153C527</vt:lpwstr>
  </property>
</Properties>
</file>